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50" w:rsidRDefault="00BD0C50"/>
    <w:p w:rsidR="00BD0C50" w:rsidRDefault="00BD0C50"/>
    <w:p w:rsidR="00BD0C50" w:rsidRDefault="00BD0C50"/>
    <w:p w:rsidR="00BD0C50" w:rsidRDefault="00BD0C50" w:rsidP="002A695D"/>
    <w:p w:rsidR="00BD0C50" w:rsidRPr="00BD0C50" w:rsidRDefault="00364F71" w:rsidP="00BD0C50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BD0C50"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-545465</wp:posOffset>
            </wp:positionH>
            <wp:positionV relativeFrom="margin">
              <wp:posOffset>-580390</wp:posOffset>
            </wp:positionV>
            <wp:extent cx="2988310" cy="148018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hs_sig_2c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0C50" w:rsidRPr="00BD0C50">
        <w:rPr>
          <w:rFonts w:ascii="Garamond" w:hAnsi="Garamond"/>
          <w:b/>
          <w:sz w:val="32"/>
          <w:szCs w:val="32"/>
        </w:rPr>
        <w:t>PARENTAL CUSTODY AND</w:t>
      </w:r>
    </w:p>
    <w:p w:rsidR="00831355" w:rsidRDefault="00BD0C50" w:rsidP="00BD0C50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BD0C50">
        <w:rPr>
          <w:rFonts w:ascii="Garamond" w:hAnsi="Garamond"/>
          <w:b/>
          <w:sz w:val="32"/>
          <w:szCs w:val="32"/>
        </w:rPr>
        <w:t>ACCESS TO SCHOOL INFORMATION</w:t>
      </w:r>
    </w:p>
    <w:p w:rsidR="00AA14B9" w:rsidRDefault="00AA14B9" w:rsidP="00BD0C50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BD0C50" w:rsidRDefault="00BD0C50" w:rsidP="00BD0C50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BD0C50" w:rsidRDefault="00BD0C50" w:rsidP="00BD0C50">
      <w:pPr>
        <w:pStyle w:val="NoSpacing"/>
        <w:jc w:val="both"/>
        <w:rPr>
          <w:rFonts w:ascii="Garamond" w:hAnsi="Garamond"/>
          <w:sz w:val="24"/>
          <w:szCs w:val="24"/>
        </w:rPr>
      </w:pPr>
      <w:r w:rsidRPr="00BD0C50">
        <w:rPr>
          <w:rFonts w:ascii="Garamond" w:hAnsi="Garamond"/>
          <w:sz w:val="24"/>
          <w:szCs w:val="24"/>
        </w:rPr>
        <w:t>Recent court decisions and legal opinions have made it clear that school officials must remain neutral toward parents who are separated or divorced</w:t>
      </w:r>
      <w:r>
        <w:rPr>
          <w:rFonts w:ascii="Garamond" w:hAnsi="Garamond"/>
          <w:sz w:val="24"/>
          <w:szCs w:val="24"/>
        </w:rPr>
        <w:t xml:space="preserve">. We may not side with one parent against the other regardless of the child’s residence or guardianship. Like you, teachers and school officials hope that </w:t>
      </w:r>
      <w:r w:rsidR="00AA14B9">
        <w:rPr>
          <w:rFonts w:ascii="Garamond" w:hAnsi="Garamond"/>
          <w:sz w:val="24"/>
          <w:szCs w:val="24"/>
        </w:rPr>
        <w:t>students</w:t>
      </w:r>
      <w:r>
        <w:rPr>
          <w:rFonts w:ascii="Garamond" w:hAnsi="Garamond"/>
          <w:sz w:val="24"/>
          <w:szCs w:val="24"/>
        </w:rPr>
        <w:t xml:space="preserve"> can be protected from emotional stress resulting from parental disagreement over </w:t>
      </w:r>
      <w:r w:rsidR="00B333AC">
        <w:rPr>
          <w:rFonts w:ascii="Garamond" w:hAnsi="Garamond"/>
          <w:sz w:val="24"/>
          <w:szCs w:val="24"/>
        </w:rPr>
        <w:t>matters</w:t>
      </w:r>
      <w:r>
        <w:rPr>
          <w:rFonts w:ascii="Garamond" w:hAnsi="Garamond"/>
          <w:sz w:val="24"/>
          <w:szCs w:val="24"/>
        </w:rPr>
        <w:t xml:space="preserve"> involving the school.</w:t>
      </w:r>
    </w:p>
    <w:p w:rsidR="00BD0C50" w:rsidRDefault="00BD0C50" w:rsidP="00BD0C50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BD0C50" w:rsidRDefault="00BD0C50" w:rsidP="00BD0C5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have a court decree which establishes you as legal guardian, please make sure that a copy of that document is forwarded to the Office of Academic Affairs. In some </w:t>
      </w:r>
      <w:r w:rsidR="00B333AC">
        <w:rPr>
          <w:rFonts w:ascii="Garamond" w:hAnsi="Garamond"/>
          <w:sz w:val="24"/>
          <w:szCs w:val="24"/>
        </w:rPr>
        <w:t>cases,</w:t>
      </w:r>
      <w:r>
        <w:rPr>
          <w:rFonts w:ascii="Garamond" w:hAnsi="Garamond"/>
          <w:sz w:val="24"/>
          <w:szCs w:val="24"/>
        </w:rPr>
        <w:t xml:space="preserve"> a document can provide a legal basis for working with one parent at the exclusion of another.</w:t>
      </w:r>
    </w:p>
    <w:p w:rsidR="00BD0C50" w:rsidRDefault="00BD0C50" w:rsidP="00BD0C50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BD0C50" w:rsidRDefault="00BD0C50" w:rsidP="00BD0C5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the absence of such a document, you must be aware that school officials cannot deny either parent access to his/her child, or the child’s school records. We could not refuse to provide information or refuse to meet with or </w:t>
      </w:r>
      <w:r w:rsidR="00B333AC">
        <w:rPr>
          <w:rFonts w:ascii="Garamond" w:hAnsi="Garamond"/>
          <w:sz w:val="24"/>
          <w:szCs w:val="24"/>
        </w:rPr>
        <w:t xml:space="preserve">work with the other parent. We </w:t>
      </w:r>
      <w:r>
        <w:rPr>
          <w:rFonts w:ascii="Garamond" w:hAnsi="Garamond"/>
          <w:sz w:val="24"/>
          <w:szCs w:val="24"/>
        </w:rPr>
        <w:t>could not prevent the other parent from picking up the child from school property or withdrawing the child from the school and enrolling them in another school.</w:t>
      </w:r>
    </w:p>
    <w:p w:rsidR="00B333AC" w:rsidRDefault="00B333AC" w:rsidP="00BD0C50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B333AC" w:rsidRDefault="00B333AC" w:rsidP="00BD0C5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sign below to indicate that you have read this statement and understand its content.</w:t>
      </w:r>
    </w:p>
    <w:p w:rsidR="00B333AC" w:rsidRDefault="00B333AC" w:rsidP="00BD0C50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B333AC" w:rsidRDefault="00B333AC" w:rsidP="00BD0C5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N/A – (Parents/Guardians are residing together) or (Only one surviving parent/Guardian)</w:t>
      </w:r>
    </w:p>
    <w:p w:rsidR="00B333AC" w:rsidRDefault="00B333AC" w:rsidP="00BD0C50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B333AC" w:rsidRDefault="00B333AC" w:rsidP="00B333AC">
      <w:pPr>
        <w:pStyle w:val="NoSpacing"/>
        <w:ind w:left="720"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 xml:space="preserve">Parents/Guardians are </w:t>
      </w:r>
      <w:r w:rsidRPr="00B333AC">
        <w:rPr>
          <w:rFonts w:ascii="Garamond" w:hAnsi="Garamond"/>
          <w:sz w:val="24"/>
          <w:szCs w:val="24"/>
          <w:u w:val="single"/>
        </w:rPr>
        <w:t>NOT</w:t>
      </w:r>
      <w:r>
        <w:rPr>
          <w:rFonts w:ascii="Garamond" w:hAnsi="Garamond"/>
          <w:sz w:val="24"/>
          <w:szCs w:val="24"/>
        </w:rPr>
        <w:t xml:space="preserve"> residing together – Child Custody Agreement is being sent to Academic Affairs.</w:t>
      </w:r>
    </w:p>
    <w:p w:rsidR="00B333AC" w:rsidRDefault="00B333AC" w:rsidP="00B333AC">
      <w:pPr>
        <w:pStyle w:val="NoSpacing"/>
        <w:ind w:left="720" w:hanging="720"/>
        <w:jc w:val="both"/>
        <w:rPr>
          <w:rFonts w:ascii="Garamond" w:hAnsi="Garamond"/>
          <w:sz w:val="24"/>
          <w:szCs w:val="24"/>
        </w:rPr>
      </w:pPr>
    </w:p>
    <w:p w:rsidR="00B333AC" w:rsidRDefault="00B333AC" w:rsidP="00B333AC">
      <w:pPr>
        <w:pStyle w:val="NoSpacing"/>
        <w:ind w:left="720"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 xml:space="preserve">Parents/Guardians are </w:t>
      </w:r>
      <w:r w:rsidRPr="00B333AC">
        <w:rPr>
          <w:rFonts w:ascii="Garamond" w:hAnsi="Garamond"/>
          <w:sz w:val="24"/>
          <w:szCs w:val="24"/>
          <w:u w:val="single"/>
        </w:rPr>
        <w:t>NOT</w:t>
      </w:r>
      <w:r>
        <w:rPr>
          <w:rFonts w:ascii="Garamond" w:hAnsi="Garamond"/>
          <w:sz w:val="24"/>
          <w:szCs w:val="24"/>
        </w:rPr>
        <w:t xml:space="preserve"> residing together and choose not to provide a copy of the Child Custody Agreement.</w:t>
      </w:r>
    </w:p>
    <w:p w:rsidR="00B333AC" w:rsidRDefault="00B333AC" w:rsidP="00B333AC">
      <w:pPr>
        <w:pStyle w:val="NoSpacing"/>
        <w:ind w:left="720" w:hanging="720"/>
        <w:jc w:val="both"/>
        <w:rPr>
          <w:rFonts w:ascii="Garamond" w:hAnsi="Garamond"/>
          <w:sz w:val="24"/>
          <w:szCs w:val="24"/>
        </w:rPr>
      </w:pPr>
    </w:p>
    <w:p w:rsidR="002A695D" w:rsidRDefault="00B333AC" w:rsidP="002A695D">
      <w:pPr>
        <w:pStyle w:val="NoSpacing"/>
        <w:ind w:left="720"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 xml:space="preserve">Parents/Guardians are </w:t>
      </w:r>
      <w:r w:rsidRPr="00B333AC">
        <w:rPr>
          <w:rFonts w:ascii="Garamond" w:hAnsi="Garamond"/>
          <w:sz w:val="24"/>
          <w:szCs w:val="24"/>
          <w:u w:val="single"/>
        </w:rPr>
        <w:t>NOT</w:t>
      </w:r>
      <w:r>
        <w:rPr>
          <w:rFonts w:ascii="Garamond" w:hAnsi="Garamond"/>
          <w:sz w:val="24"/>
          <w:szCs w:val="24"/>
        </w:rPr>
        <w:t xml:space="preserve"> residing together and the below parent/guardian swears, or affirms, that there is </w:t>
      </w:r>
      <w:r w:rsidRPr="00AA14B9">
        <w:rPr>
          <w:rFonts w:ascii="Garamond" w:hAnsi="Garamond"/>
          <w:b/>
          <w:sz w:val="24"/>
          <w:szCs w:val="24"/>
        </w:rPr>
        <w:t>NO Child Custody Agreement in affect</w:t>
      </w:r>
      <w:r>
        <w:rPr>
          <w:rFonts w:ascii="Garamond" w:hAnsi="Garamond"/>
          <w:sz w:val="24"/>
          <w:szCs w:val="24"/>
        </w:rPr>
        <w:t>.</w:t>
      </w:r>
    </w:p>
    <w:p w:rsidR="002A695D" w:rsidRDefault="002A695D" w:rsidP="002A695D">
      <w:pPr>
        <w:pStyle w:val="NoSpacing"/>
        <w:ind w:left="720" w:hanging="72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333AC" w:rsidRDefault="00B333AC" w:rsidP="00B333AC">
      <w:pPr>
        <w:pStyle w:val="NoSpacing"/>
        <w:ind w:left="720" w:hanging="720"/>
        <w:jc w:val="both"/>
        <w:rPr>
          <w:rFonts w:ascii="Garamond" w:hAnsi="Garamond"/>
          <w:sz w:val="24"/>
          <w:szCs w:val="24"/>
        </w:rPr>
      </w:pPr>
    </w:p>
    <w:p w:rsidR="00B333AC" w:rsidRDefault="00B333AC" w:rsidP="00B333AC">
      <w:pPr>
        <w:pStyle w:val="NoSpacing"/>
        <w:ind w:left="720" w:hanging="720"/>
        <w:jc w:val="both"/>
        <w:rPr>
          <w:rFonts w:ascii="Garamond" w:hAnsi="Garamond"/>
          <w:sz w:val="24"/>
          <w:szCs w:val="24"/>
        </w:rPr>
      </w:pPr>
    </w:p>
    <w:p w:rsidR="002A695D" w:rsidRDefault="002A695D" w:rsidP="002A695D">
      <w:pPr>
        <w:pStyle w:val="NoSpacing"/>
        <w:pBdr>
          <w:top w:val="single" w:sz="4" w:space="1" w:color="auto"/>
        </w:pBdr>
        <w:ind w:left="720"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Name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Grade</w:t>
      </w:r>
    </w:p>
    <w:p w:rsidR="00B333AC" w:rsidRDefault="00B333AC" w:rsidP="00B333AC">
      <w:pPr>
        <w:pStyle w:val="NoSpacing"/>
        <w:ind w:left="720" w:hanging="720"/>
        <w:jc w:val="both"/>
        <w:rPr>
          <w:rFonts w:ascii="Garamond" w:hAnsi="Garamond"/>
          <w:sz w:val="24"/>
          <w:szCs w:val="24"/>
        </w:rPr>
      </w:pPr>
    </w:p>
    <w:p w:rsidR="00B333AC" w:rsidRDefault="00B333AC" w:rsidP="00B333AC">
      <w:pPr>
        <w:pStyle w:val="NoSpacing"/>
        <w:ind w:left="720" w:hanging="720"/>
        <w:jc w:val="both"/>
        <w:rPr>
          <w:rFonts w:ascii="Garamond" w:hAnsi="Garamond"/>
          <w:sz w:val="24"/>
          <w:szCs w:val="24"/>
        </w:rPr>
      </w:pPr>
    </w:p>
    <w:p w:rsidR="00B333AC" w:rsidRPr="00BD0C50" w:rsidRDefault="00B333AC" w:rsidP="00B333AC">
      <w:pPr>
        <w:pStyle w:val="NoSpacing"/>
        <w:pBdr>
          <w:top w:val="single" w:sz="4" w:space="1" w:color="auto"/>
        </w:pBdr>
        <w:ind w:left="720"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 of Parent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</w:t>
      </w:r>
    </w:p>
    <w:sectPr w:rsidR="00B333AC" w:rsidRPr="00BD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71"/>
    <w:rsid w:val="002A695D"/>
    <w:rsid w:val="00364F71"/>
    <w:rsid w:val="00831355"/>
    <w:rsid w:val="00AA14B9"/>
    <w:rsid w:val="00B333AC"/>
    <w:rsid w:val="00B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FD6C"/>
  <w15:chartTrackingRefBased/>
  <w15:docId w15:val="{74AFBBA3-5071-4667-980C-5B28F65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787AE41-2EBC-4589-83C7-730D3ACD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Wheatley, Catrina</dc:creator>
  <cp:keywords/>
  <dc:description/>
  <cp:lastModifiedBy>Wheatley, Catrina</cp:lastModifiedBy>
  <cp:revision>2</cp:revision>
  <dcterms:created xsi:type="dcterms:W3CDTF">2017-01-25T14:44:00Z</dcterms:created>
  <dcterms:modified xsi:type="dcterms:W3CDTF">2017-01-25T15:20:00Z</dcterms:modified>
</cp:coreProperties>
</file>